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021" w:type="dxa"/>
        <w:tblInd w:w="-998" w:type="dxa"/>
        <w:tblLook w:val="04A0" w:firstRow="1" w:lastRow="0" w:firstColumn="1" w:lastColumn="0" w:noHBand="0" w:noVBand="1"/>
      </w:tblPr>
      <w:tblGrid>
        <w:gridCol w:w="1493"/>
        <w:gridCol w:w="6764"/>
        <w:gridCol w:w="6764"/>
      </w:tblGrid>
      <w:tr w:rsidR="005835A0" w:rsidRPr="009006B2" w14:paraId="572FC817" w14:textId="77777777" w:rsidTr="007342ED">
        <w:tc>
          <w:tcPr>
            <w:tcW w:w="1493" w:type="dxa"/>
          </w:tcPr>
          <w:p w14:paraId="3F0D4BEE" w14:textId="77777777" w:rsidR="005835A0" w:rsidRPr="009006B2" w:rsidRDefault="005835A0" w:rsidP="009006B2">
            <w:pPr>
              <w:jc w:val="center"/>
              <w:rPr>
                <w:b/>
                <w:bCs/>
              </w:rPr>
            </w:pPr>
          </w:p>
        </w:tc>
        <w:tc>
          <w:tcPr>
            <w:tcW w:w="6764" w:type="dxa"/>
          </w:tcPr>
          <w:p w14:paraId="05A026C9" w14:textId="06C1A9D8" w:rsidR="005835A0" w:rsidRPr="00362D32" w:rsidRDefault="00786853" w:rsidP="009006B2">
            <w:pPr>
              <w:jc w:val="center"/>
              <w:rPr>
                <w:b/>
                <w:bCs/>
                <w:u w:val="single"/>
              </w:rPr>
            </w:pPr>
            <w:r w:rsidRPr="00362D32">
              <w:rPr>
                <w:bCs/>
                <w:color w:val="4472C4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HOSPIMUT</w:t>
            </w:r>
          </w:p>
        </w:tc>
        <w:tc>
          <w:tcPr>
            <w:tcW w:w="6764" w:type="dxa"/>
          </w:tcPr>
          <w:p w14:paraId="6BFCAAC2" w14:textId="5CE2DC76" w:rsidR="00786853" w:rsidRPr="00362D32" w:rsidRDefault="00786853" w:rsidP="009006B2">
            <w:pPr>
              <w:jc w:val="center"/>
              <w:rPr>
                <w:b/>
                <w:bCs/>
                <w:u w:val="single"/>
              </w:rPr>
            </w:pPr>
            <w:r w:rsidRPr="00362D32">
              <w:rPr>
                <w:bCs/>
                <w:color w:val="4472C4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OPTIO</w:t>
            </w:r>
          </w:p>
        </w:tc>
      </w:tr>
      <w:tr w:rsidR="00786853" w14:paraId="38122ACF" w14:textId="77777777" w:rsidTr="007342ED">
        <w:tc>
          <w:tcPr>
            <w:tcW w:w="1493" w:type="dxa"/>
          </w:tcPr>
          <w:p w14:paraId="05E5E726" w14:textId="050516BE" w:rsidR="00786853" w:rsidRDefault="00786853">
            <w:r>
              <w:t>Type d’assurance</w:t>
            </w:r>
          </w:p>
        </w:tc>
        <w:tc>
          <w:tcPr>
            <w:tcW w:w="6764" w:type="dxa"/>
          </w:tcPr>
          <w:p w14:paraId="5FE149D6" w14:textId="57845D27" w:rsidR="00786853" w:rsidRDefault="00786853">
            <w:r>
              <w:t>Intervention dans les frais d’hospitalisation en chambre commune ou à deux lits</w:t>
            </w:r>
          </w:p>
        </w:tc>
        <w:tc>
          <w:tcPr>
            <w:tcW w:w="6764" w:type="dxa"/>
          </w:tcPr>
          <w:p w14:paraId="60DA76F3" w14:textId="652D2CE6" w:rsidR="00786853" w:rsidRDefault="00786853" w:rsidP="009C24F1">
            <w:r>
              <w:t>Intervention dans les frais d’hospitalisation en chambre commune, à deux lits et chambre particulière</w:t>
            </w:r>
            <w:r w:rsidR="00B9661D">
              <w:t xml:space="preserve"> </w:t>
            </w:r>
          </w:p>
        </w:tc>
      </w:tr>
      <w:tr w:rsidR="00786853" w14:paraId="39F44C5D" w14:textId="77777777" w:rsidTr="007342ED">
        <w:tc>
          <w:tcPr>
            <w:tcW w:w="1493" w:type="dxa"/>
          </w:tcPr>
          <w:p w14:paraId="30350DFE" w14:textId="4B12C068" w:rsidR="00786853" w:rsidRDefault="00786853">
            <w:r>
              <w:t>Franchise</w:t>
            </w:r>
          </w:p>
        </w:tc>
        <w:tc>
          <w:tcPr>
            <w:tcW w:w="6764" w:type="dxa"/>
          </w:tcPr>
          <w:p w14:paraId="7E66A6C8" w14:textId="296C36BD" w:rsidR="00786853" w:rsidRDefault="00786853" w:rsidP="0012707D">
            <w:pPr>
              <w:jc w:val="center"/>
            </w:pPr>
            <w:r>
              <w:t>/</w:t>
            </w:r>
          </w:p>
        </w:tc>
        <w:tc>
          <w:tcPr>
            <w:tcW w:w="6764" w:type="dxa"/>
          </w:tcPr>
          <w:p w14:paraId="43193ADF" w14:textId="2D1304AF" w:rsidR="00786853" w:rsidRDefault="00786853" w:rsidP="00786853">
            <w:r>
              <w:t xml:space="preserve">100 </w:t>
            </w:r>
            <w:r w:rsidR="007342ED">
              <w:t>€ / an / personne</w:t>
            </w:r>
          </w:p>
        </w:tc>
      </w:tr>
      <w:tr w:rsidR="007342ED" w14:paraId="1475783B" w14:textId="77777777" w:rsidTr="007342ED">
        <w:tc>
          <w:tcPr>
            <w:tcW w:w="1493" w:type="dxa"/>
          </w:tcPr>
          <w:p w14:paraId="358472DB" w14:textId="588566CC" w:rsidR="007342ED" w:rsidRDefault="007342ED">
            <w:r>
              <w:t>Stage</w:t>
            </w:r>
          </w:p>
        </w:tc>
        <w:tc>
          <w:tcPr>
            <w:tcW w:w="13528" w:type="dxa"/>
            <w:gridSpan w:val="2"/>
          </w:tcPr>
          <w:p w14:paraId="1E3C9038" w14:textId="579C9E1A" w:rsidR="007342ED" w:rsidRDefault="007342ED" w:rsidP="002C6E9A">
            <w:pPr>
              <w:jc w:val="center"/>
            </w:pPr>
            <w:r>
              <w:t>6 mois (suppression en cas d’accident ou contrat similaire</w:t>
            </w:r>
            <w:r w:rsidR="00DF2068">
              <w:t xml:space="preserve"> </w:t>
            </w:r>
            <w:r w:rsidR="005A6350">
              <w:t>et pour l</w:t>
            </w:r>
            <w:r w:rsidR="00DF2068">
              <w:t>e</w:t>
            </w:r>
            <w:r w:rsidR="005A6350">
              <w:t>quel le stage de 6 mois a été accompli</w:t>
            </w:r>
            <w:r w:rsidR="00DF2068">
              <w:t>)</w:t>
            </w:r>
          </w:p>
        </w:tc>
      </w:tr>
      <w:tr w:rsidR="00D259B6" w14:paraId="068ACCE9" w14:textId="77777777" w:rsidTr="00BA3F80">
        <w:tc>
          <w:tcPr>
            <w:tcW w:w="1493" w:type="dxa"/>
          </w:tcPr>
          <w:p w14:paraId="3D977215" w14:textId="3090D12F" w:rsidR="00D259B6" w:rsidRDefault="00D259B6">
            <w:r>
              <w:t>Limitation maternité</w:t>
            </w:r>
          </w:p>
        </w:tc>
        <w:tc>
          <w:tcPr>
            <w:tcW w:w="6764" w:type="dxa"/>
          </w:tcPr>
          <w:p w14:paraId="32B0DDD1" w14:textId="565D896C" w:rsidR="00D259B6" w:rsidRDefault="00D259B6" w:rsidP="002C6E9A">
            <w:pPr>
              <w:jc w:val="center"/>
            </w:pPr>
            <w:r>
              <w:t>Pas de limitation hormis les 6 mois de stage</w:t>
            </w:r>
          </w:p>
        </w:tc>
        <w:tc>
          <w:tcPr>
            <w:tcW w:w="6764" w:type="dxa"/>
          </w:tcPr>
          <w:p w14:paraId="76005A08" w14:textId="06B59A6A" w:rsidR="00D259B6" w:rsidRDefault="009D292A" w:rsidP="002C6E9A">
            <w:pPr>
              <w:jc w:val="center"/>
            </w:pPr>
            <w:r>
              <w:t>Pas de chambre particulière les 9 premiers mois du contrat</w:t>
            </w:r>
          </w:p>
        </w:tc>
      </w:tr>
      <w:tr w:rsidR="00786853" w14:paraId="562329A0" w14:textId="77777777" w:rsidTr="007342ED">
        <w:tc>
          <w:tcPr>
            <w:tcW w:w="1493" w:type="dxa"/>
          </w:tcPr>
          <w:p w14:paraId="580E04F6" w14:textId="54B4AFEC" w:rsidR="00786853" w:rsidRDefault="007342ED">
            <w:r>
              <w:t>Plafond d’intervention</w:t>
            </w:r>
          </w:p>
        </w:tc>
        <w:tc>
          <w:tcPr>
            <w:tcW w:w="6764" w:type="dxa"/>
          </w:tcPr>
          <w:p w14:paraId="2CE127B0" w14:textId="73E766C5" w:rsidR="00786853" w:rsidRDefault="007342ED">
            <w:r>
              <w:t>Plafond illimité</w:t>
            </w:r>
          </w:p>
        </w:tc>
        <w:tc>
          <w:tcPr>
            <w:tcW w:w="6764" w:type="dxa"/>
          </w:tcPr>
          <w:p w14:paraId="54BC4801" w14:textId="22EBD725" w:rsidR="00786853" w:rsidRDefault="007342ED" w:rsidP="00786853">
            <w:r>
              <w:t>25 000 euros / an / assuré / hospi</w:t>
            </w:r>
          </w:p>
        </w:tc>
      </w:tr>
      <w:tr w:rsidR="00786853" w14:paraId="1FE01AD4" w14:textId="77777777" w:rsidTr="007342ED">
        <w:tc>
          <w:tcPr>
            <w:tcW w:w="1493" w:type="dxa"/>
            <w:vMerge w:val="restart"/>
            <w:textDirection w:val="btLr"/>
          </w:tcPr>
          <w:p w14:paraId="7467666E" w14:textId="789067D1" w:rsidR="00786853" w:rsidRDefault="00786853" w:rsidP="00786853">
            <w:pPr>
              <w:pStyle w:val="Paragraphedeliste"/>
              <w:ind w:left="37" w:right="113"/>
              <w:jc w:val="center"/>
            </w:pPr>
            <w:r>
              <w:t>Ce qui est assuré</w:t>
            </w:r>
          </w:p>
        </w:tc>
        <w:tc>
          <w:tcPr>
            <w:tcW w:w="6764" w:type="dxa"/>
          </w:tcPr>
          <w:p w14:paraId="7EBF1EDE" w14:textId="7C26B7D5" w:rsidR="00786853" w:rsidRPr="00FA49FF" w:rsidRDefault="00786853" w:rsidP="005835A0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FA49FF">
              <w:rPr>
                <w:b/>
                <w:bCs/>
              </w:rPr>
              <w:t>Les frais de séjour en chambre commune/ 2 lits</w:t>
            </w:r>
          </w:p>
          <w:p w14:paraId="41D8767C" w14:textId="3CB22918" w:rsidR="00786853" w:rsidRDefault="00786853" w:rsidP="005835A0">
            <w:pPr>
              <w:pStyle w:val="Paragraphedeliste"/>
              <w:numPr>
                <w:ilvl w:val="0"/>
                <w:numId w:val="1"/>
              </w:numPr>
            </w:pPr>
            <w:r>
              <w:t xml:space="preserve">Les </w:t>
            </w:r>
            <w:r w:rsidRPr="00FA49FF">
              <w:rPr>
                <w:b/>
                <w:bCs/>
              </w:rPr>
              <w:t>prestations médicales</w:t>
            </w:r>
            <w:r>
              <w:t xml:space="preserve"> </w:t>
            </w:r>
            <w:r w:rsidRPr="00FA49FF">
              <w:rPr>
                <w:i/>
                <w:iCs/>
              </w:rPr>
              <w:t>hors suppléments d’honoraires</w:t>
            </w:r>
          </w:p>
          <w:p w14:paraId="527103F3" w14:textId="77E3A9E8" w:rsidR="00CE7734" w:rsidRDefault="00786853" w:rsidP="005835A0">
            <w:pPr>
              <w:pStyle w:val="Paragraphedeliste"/>
              <w:numPr>
                <w:ilvl w:val="0"/>
                <w:numId w:val="1"/>
              </w:numPr>
            </w:pPr>
            <w:r>
              <w:t xml:space="preserve">Les hospitalisations : </w:t>
            </w:r>
          </w:p>
          <w:p w14:paraId="1929F6F2" w14:textId="73F57C86" w:rsidR="007342ED" w:rsidRDefault="00786853" w:rsidP="00CE7734">
            <w:pPr>
              <w:pStyle w:val="Paragraphedeliste"/>
              <w:numPr>
                <w:ilvl w:val="1"/>
                <w:numId w:val="1"/>
              </w:numPr>
            </w:pPr>
            <w:r>
              <w:t>En service de psychogériatrie (maximu</w:t>
            </w:r>
            <w:r w:rsidR="00387A9F">
              <w:t>m</w:t>
            </w:r>
            <w:r>
              <w:t xml:space="preserve"> 180 jours/an)  </w:t>
            </w:r>
          </w:p>
          <w:p w14:paraId="15CD1E71" w14:textId="06993122" w:rsidR="00786853" w:rsidRDefault="00786853" w:rsidP="00CE7734">
            <w:pPr>
              <w:pStyle w:val="Paragraphedeliste"/>
              <w:numPr>
                <w:ilvl w:val="1"/>
                <w:numId w:val="1"/>
              </w:numPr>
            </w:pPr>
            <w:r>
              <w:t xml:space="preserve">Pour des traitements psychothérapeutiques (maximum 30 jours/an). </w:t>
            </w:r>
          </w:p>
          <w:p w14:paraId="5F1BFEAF" w14:textId="32417233" w:rsidR="00786853" w:rsidRDefault="00786853" w:rsidP="007342ED"/>
        </w:tc>
        <w:tc>
          <w:tcPr>
            <w:tcW w:w="6764" w:type="dxa"/>
          </w:tcPr>
          <w:p w14:paraId="5E314AB3" w14:textId="77777777" w:rsidR="00786853" w:rsidRDefault="00786853" w:rsidP="005835A0">
            <w:pPr>
              <w:pStyle w:val="Paragraphedeliste"/>
              <w:numPr>
                <w:ilvl w:val="0"/>
                <w:numId w:val="1"/>
              </w:numPr>
            </w:pPr>
            <w:r>
              <w:t xml:space="preserve">Les frais de séjour en chambre commune/2 lits à charge du patient </w:t>
            </w:r>
          </w:p>
          <w:p w14:paraId="4D832075" w14:textId="3FFC113D" w:rsidR="00786853" w:rsidRDefault="00786853" w:rsidP="00786853">
            <w:pPr>
              <w:pStyle w:val="Paragraphedeliste"/>
              <w:numPr>
                <w:ilvl w:val="0"/>
                <w:numId w:val="1"/>
              </w:numPr>
            </w:pPr>
            <w:r>
              <w:t xml:space="preserve">Le </w:t>
            </w:r>
            <w:r w:rsidRPr="00FA49FF">
              <w:rPr>
                <w:b/>
                <w:bCs/>
              </w:rPr>
              <w:t>supplément en chambre particulière</w:t>
            </w:r>
            <w:r>
              <w:t xml:space="preserve"> (maximum 100€/ jour) </w:t>
            </w:r>
          </w:p>
          <w:p w14:paraId="4772B1AB" w14:textId="77777777" w:rsidR="00786853" w:rsidRDefault="00786853" w:rsidP="005835A0">
            <w:pPr>
              <w:pStyle w:val="Paragraphedeliste"/>
              <w:numPr>
                <w:ilvl w:val="0"/>
                <w:numId w:val="1"/>
              </w:numPr>
            </w:pPr>
            <w:r>
              <w:t xml:space="preserve">Les </w:t>
            </w:r>
            <w:r w:rsidRPr="00FA49FF">
              <w:rPr>
                <w:b/>
                <w:bCs/>
              </w:rPr>
              <w:t>prestations médicales</w:t>
            </w:r>
            <w:r>
              <w:t xml:space="preserve"> et paramédicales </w:t>
            </w:r>
          </w:p>
          <w:p w14:paraId="03D5B1CB" w14:textId="77777777" w:rsidR="00786853" w:rsidRDefault="00786853" w:rsidP="005835A0">
            <w:pPr>
              <w:pStyle w:val="Paragraphedeliste"/>
              <w:numPr>
                <w:ilvl w:val="0"/>
                <w:numId w:val="1"/>
              </w:numPr>
            </w:pPr>
            <w:r>
              <w:t xml:space="preserve">Les </w:t>
            </w:r>
            <w:r w:rsidRPr="00FA49FF">
              <w:rPr>
                <w:b/>
                <w:bCs/>
              </w:rPr>
              <w:t>suppléments d’honoraires médicaux</w:t>
            </w:r>
            <w:r>
              <w:t xml:space="preserve"> et paramédicaux à hauteur de : </w:t>
            </w:r>
          </w:p>
          <w:p w14:paraId="33C0900C" w14:textId="51B107C8" w:rsidR="00786853" w:rsidRDefault="00786853" w:rsidP="005835A0">
            <w:pPr>
              <w:pStyle w:val="Paragraphedeliste"/>
              <w:numPr>
                <w:ilvl w:val="1"/>
                <w:numId w:val="1"/>
              </w:numPr>
            </w:pPr>
            <w:r>
              <w:t>100% du montant de l’honoraire légal (Optio 100) ;</w:t>
            </w:r>
          </w:p>
          <w:p w14:paraId="56838B9B" w14:textId="21AB2A9C" w:rsidR="00786853" w:rsidRDefault="00786853" w:rsidP="005835A0">
            <w:pPr>
              <w:pStyle w:val="Paragraphedeliste"/>
              <w:numPr>
                <w:ilvl w:val="1"/>
                <w:numId w:val="1"/>
              </w:numPr>
            </w:pPr>
            <w:r>
              <w:t>150% du montant de l’honoraire légal (Optio 150) ;</w:t>
            </w:r>
          </w:p>
          <w:p w14:paraId="11B01D66" w14:textId="53E79669" w:rsidR="00786853" w:rsidRDefault="00786853" w:rsidP="00786853">
            <w:pPr>
              <w:pStyle w:val="Paragraphedeliste"/>
              <w:numPr>
                <w:ilvl w:val="1"/>
                <w:numId w:val="1"/>
              </w:numPr>
            </w:pPr>
            <w:r>
              <w:t xml:space="preserve">200% du montant de l’honoraire légal (Optio 200). </w:t>
            </w:r>
            <w:r>
              <w:sym w:font="Symbol" w:char="F0FC"/>
            </w:r>
            <w:r>
              <w:t xml:space="preserve">  </w:t>
            </w:r>
          </w:p>
          <w:p w14:paraId="3ED06468" w14:textId="77777777" w:rsidR="00942185" w:rsidRPr="00A41629" w:rsidRDefault="00786853" w:rsidP="00942185">
            <w:pPr>
              <w:pStyle w:val="Paragraphedeliste"/>
              <w:numPr>
                <w:ilvl w:val="0"/>
                <w:numId w:val="1"/>
              </w:numPr>
              <w:rPr>
                <w:i/>
                <w:iCs/>
              </w:rPr>
            </w:pPr>
            <w:r>
              <w:t xml:space="preserve">Les hospitalisations </w:t>
            </w:r>
            <w:r w:rsidRPr="00A41629">
              <w:rPr>
                <w:i/>
                <w:iCs/>
              </w:rPr>
              <w:t xml:space="preserve">hors suppléments de chambre et d’honoraires : </w:t>
            </w:r>
          </w:p>
          <w:p w14:paraId="3EDB8B40" w14:textId="4A69BA01" w:rsidR="007342ED" w:rsidRDefault="00786853" w:rsidP="002E0BD2">
            <w:pPr>
              <w:pStyle w:val="Paragraphedeliste"/>
              <w:numPr>
                <w:ilvl w:val="1"/>
                <w:numId w:val="1"/>
              </w:numPr>
            </w:pPr>
            <w:r>
              <w:t xml:space="preserve">En service de psychogériatrie (maximun 180 jours/an) </w:t>
            </w:r>
          </w:p>
          <w:p w14:paraId="6EDA5074" w14:textId="1842D349" w:rsidR="00786853" w:rsidRDefault="00786853" w:rsidP="002E0BD2">
            <w:pPr>
              <w:pStyle w:val="Paragraphedeliste"/>
              <w:numPr>
                <w:ilvl w:val="1"/>
                <w:numId w:val="1"/>
              </w:numPr>
            </w:pPr>
            <w:r>
              <w:t xml:space="preserve">Pour traitement psychothérapeutique (maximum 30 jours/an) </w:t>
            </w:r>
          </w:p>
          <w:p w14:paraId="6F1FE97B" w14:textId="085DEFF7" w:rsidR="0089328E" w:rsidRDefault="0089328E" w:rsidP="002E0BD2">
            <w:pPr>
              <w:pStyle w:val="Paragraphedeliste"/>
              <w:numPr>
                <w:ilvl w:val="1"/>
                <w:numId w:val="1"/>
              </w:numPr>
            </w:pPr>
            <w:r>
              <w:t>En revalidation</w:t>
            </w:r>
          </w:p>
          <w:p w14:paraId="500661BB" w14:textId="13E150F8" w:rsidR="00786853" w:rsidRDefault="00786853"/>
        </w:tc>
      </w:tr>
      <w:tr w:rsidR="00786853" w14:paraId="759D4D43" w14:textId="77777777" w:rsidTr="007342ED">
        <w:tc>
          <w:tcPr>
            <w:tcW w:w="1493" w:type="dxa"/>
            <w:vMerge/>
          </w:tcPr>
          <w:p w14:paraId="27612507" w14:textId="77777777" w:rsidR="00786853" w:rsidRPr="005835A0" w:rsidRDefault="00786853" w:rsidP="005835A0">
            <w:pPr>
              <w:pStyle w:val="Paragraphedeliste"/>
              <w:numPr>
                <w:ilvl w:val="0"/>
                <w:numId w:val="1"/>
              </w:numPr>
              <w:rPr>
                <w:color w:val="70AD47" w:themeColor="accent6"/>
              </w:rPr>
            </w:pPr>
          </w:p>
        </w:tc>
        <w:tc>
          <w:tcPr>
            <w:tcW w:w="13528" w:type="dxa"/>
            <w:gridSpan w:val="2"/>
          </w:tcPr>
          <w:p w14:paraId="7E65B40E" w14:textId="7E14A8D9" w:rsidR="00786853" w:rsidRPr="00942185" w:rsidRDefault="00786853" w:rsidP="005835A0">
            <w:pPr>
              <w:pStyle w:val="Paragraphedeliste"/>
              <w:numPr>
                <w:ilvl w:val="0"/>
                <w:numId w:val="1"/>
              </w:numPr>
            </w:pPr>
            <w:r w:rsidRPr="00942185">
              <w:t xml:space="preserve">Les </w:t>
            </w:r>
            <w:r w:rsidRPr="00A41629">
              <w:rPr>
                <w:b/>
                <w:bCs/>
              </w:rPr>
              <w:t>médicaments</w:t>
            </w:r>
            <w:r w:rsidRPr="00942185">
              <w:t xml:space="preserve"> administrés lors de l’hospitalisati</w:t>
            </w:r>
            <w:r w:rsidR="00942185" w:rsidRPr="00942185">
              <w:t>on</w:t>
            </w:r>
          </w:p>
          <w:p w14:paraId="1EB97FB0" w14:textId="77777777" w:rsidR="00786853" w:rsidRPr="00942185" w:rsidRDefault="00786853" w:rsidP="005835A0">
            <w:pPr>
              <w:pStyle w:val="Paragraphedeliste"/>
              <w:numPr>
                <w:ilvl w:val="0"/>
                <w:numId w:val="1"/>
              </w:numPr>
            </w:pPr>
            <w:r w:rsidRPr="00942185">
              <w:t xml:space="preserve">Les </w:t>
            </w:r>
            <w:r w:rsidRPr="00A41629">
              <w:rPr>
                <w:b/>
                <w:bCs/>
              </w:rPr>
              <w:t>prothèses et implants</w:t>
            </w:r>
            <w:r w:rsidRPr="00942185">
              <w:t xml:space="preserve"> (maximum 5.000€/ hospitalisation) </w:t>
            </w:r>
          </w:p>
          <w:p w14:paraId="4D644D7E" w14:textId="77777777" w:rsidR="00786853" w:rsidRPr="00942185" w:rsidRDefault="00786853" w:rsidP="005835A0">
            <w:pPr>
              <w:pStyle w:val="Paragraphedeliste"/>
              <w:numPr>
                <w:ilvl w:val="0"/>
                <w:numId w:val="1"/>
              </w:numPr>
            </w:pPr>
            <w:r w:rsidRPr="00942185">
              <w:t xml:space="preserve">Le </w:t>
            </w:r>
            <w:r w:rsidRPr="00A41629">
              <w:rPr>
                <w:b/>
                <w:bCs/>
              </w:rPr>
              <w:t>petit matériel</w:t>
            </w:r>
            <w:r w:rsidRPr="00942185">
              <w:t xml:space="preserve"> : thermomètre, bas à varices, ceinture abdominale, pansements (maximum 500 €/an) </w:t>
            </w:r>
          </w:p>
          <w:p w14:paraId="1BFDAA5A" w14:textId="77777777" w:rsidR="00786853" w:rsidRPr="00942185" w:rsidRDefault="00786853" w:rsidP="005835A0">
            <w:pPr>
              <w:pStyle w:val="Paragraphedeliste"/>
              <w:numPr>
                <w:ilvl w:val="0"/>
                <w:numId w:val="1"/>
              </w:numPr>
            </w:pPr>
            <w:r w:rsidRPr="00942185">
              <w:t xml:space="preserve">Les </w:t>
            </w:r>
            <w:r w:rsidRPr="00A41629">
              <w:rPr>
                <w:b/>
                <w:bCs/>
              </w:rPr>
              <w:t>lunettes, appareils auditifs et/ou orthopédiques en rapport avec l’hospitalisation</w:t>
            </w:r>
            <w:r w:rsidRPr="00942185">
              <w:t xml:space="preserve"> (maximum 150 €/ hospitalisation) </w:t>
            </w:r>
          </w:p>
          <w:p w14:paraId="6D7CEE6C" w14:textId="77777777" w:rsidR="00786853" w:rsidRPr="00942185" w:rsidRDefault="00786853" w:rsidP="005835A0">
            <w:pPr>
              <w:pStyle w:val="Paragraphedeliste"/>
              <w:numPr>
                <w:ilvl w:val="0"/>
                <w:numId w:val="1"/>
              </w:numPr>
            </w:pPr>
            <w:r w:rsidRPr="00A41629">
              <w:rPr>
                <w:b/>
                <w:bCs/>
              </w:rPr>
              <w:t>L’accouchement à domicile</w:t>
            </w:r>
            <w:r w:rsidRPr="00942185">
              <w:t xml:space="preserve"> ou maison de naissance (maximum 250 €) </w:t>
            </w:r>
          </w:p>
          <w:p w14:paraId="6CD39A1F" w14:textId="63293975" w:rsidR="00786853" w:rsidRPr="00942185" w:rsidRDefault="00786853" w:rsidP="005835A0">
            <w:pPr>
              <w:pStyle w:val="Paragraphedeliste"/>
              <w:numPr>
                <w:ilvl w:val="0"/>
                <w:numId w:val="1"/>
              </w:numPr>
            </w:pPr>
            <w:r w:rsidRPr="00942185">
              <w:t xml:space="preserve">Les frais de séjour d’un </w:t>
            </w:r>
            <w:r w:rsidRPr="00A41629">
              <w:rPr>
                <w:b/>
                <w:bCs/>
              </w:rPr>
              <w:t>parent accompagnant</w:t>
            </w:r>
            <w:r w:rsidRPr="00942185">
              <w:t xml:space="preserve"> un enfant de moins de 19 ans (maximum 25 €/jour) </w:t>
            </w:r>
          </w:p>
          <w:p w14:paraId="4A251100" w14:textId="525B01A9" w:rsidR="007342ED" w:rsidRPr="00942185" w:rsidRDefault="007342ED" w:rsidP="007342ED">
            <w:pPr>
              <w:pStyle w:val="Paragraphedeliste"/>
              <w:numPr>
                <w:ilvl w:val="0"/>
                <w:numId w:val="1"/>
              </w:numPr>
            </w:pPr>
            <w:r w:rsidRPr="00942185">
              <w:t xml:space="preserve">Un </w:t>
            </w:r>
            <w:r w:rsidR="0089328E">
              <w:t xml:space="preserve">avantage client </w:t>
            </w:r>
            <w:r w:rsidRPr="00942185">
              <w:t>de 10% calculé sur base de l’indemnisation</w:t>
            </w:r>
          </w:p>
          <w:p w14:paraId="11BC0876" w14:textId="274CDBE8" w:rsidR="00786853" w:rsidRDefault="00786853" w:rsidP="00786853">
            <w:pPr>
              <w:pStyle w:val="Paragraphedeliste"/>
            </w:pPr>
          </w:p>
        </w:tc>
      </w:tr>
      <w:tr w:rsidR="00942185" w:rsidRPr="00942185" w14:paraId="5E81B395" w14:textId="77777777" w:rsidTr="007342ED">
        <w:tc>
          <w:tcPr>
            <w:tcW w:w="1493" w:type="dxa"/>
          </w:tcPr>
          <w:p w14:paraId="2E8DEFF8" w14:textId="77777777" w:rsidR="007342ED" w:rsidRPr="00942185" w:rsidRDefault="007342ED" w:rsidP="0071749B">
            <w:pPr>
              <w:pStyle w:val="Paragraphedeliste"/>
              <w:ind w:left="0"/>
            </w:pPr>
            <w:r w:rsidRPr="00942185">
              <w:t>Transport</w:t>
            </w:r>
          </w:p>
        </w:tc>
        <w:tc>
          <w:tcPr>
            <w:tcW w:w="13528" w:type="dxa"/>
            <w:gridSpan w:val="2"/>
          </w:tcPr>
          <w:p w14:paraId="0FA8EC66" w14:textId="6133A29D" w:rsidR="007342ED" w:rsidRPr="00942185" w:rsidRDefault="007342ED" w:rsidP="008117EF">
            <w:pPr>
              <w:pStyle w:val="Paragraphedeliste"/>
              <w:numPr>
                <w:ilvl w:val="0"/>
                <w:numId w:val="1"/>
              </w:numPr>
            </w:pPr>
            <w:r w:rsidRPr="00942185">
              <w:t>Les transports en ambulance et en hélicoptère (maximum 425€/an ; 2€/km pour l’hélicoptère et les transports non urgents)</w:t>
            </w:r>
          </w:p>
        </w:tc>
      </w:tr>
    </w:tbl>
    <w:p w14:paraId="2D6E7A4C" w14:textId="77777777" w:rsidR="00217A54" w:rsidRDefault="00217A54">
      <w:r>
        <w:br w:type="page"/>
      </w:r>
    </w:p>
    <w:tbl>
      <w:tblPr>
        <w:tblStyle w:val="Grilledutableau"/>
        <w:tblW w:w="15021" w:type="dxa"/>
        <w:tblInd w:w="-998" w:type="dxa"/>
        <w:tblLook w:val="04A0" w:firstRow="1" w:lastRow="0" w:firstColumn="1" w:lastColumn="0" w:noHBand="0" w:noVBand="1"/>
      </w:tblPr>
      <w:tblGrid>
        <w:gridCol w:w="1493"/>
        <w:gridCol w:w="67"/>
        <w:gridCol w:w="6663"/>
        <w:gridCol w:w="6798"/>
      </w:tblGrid>
      <w:tr w:rsidR="00942185" w14:paraId="5084EC97" w14:textId="77777777" w:rsidTr="00942185">
        <w:tc>
          <w:tcPr>
            <w:tcW w:w="1560" w:type="dxa"/>
            <w:gridSpan w:val="2"/>
          </w:tcPr>
          <w:p w14:paraId="09687C1C" w14:textId="6B18E5B2" w:rsidR="00942185" w:rsidRPr="00942185" w:rsidRDefault="00942185" w:rsidP="007342ED">
            <w:pPr>
              <w:autoSpaceDE w:val="0"/>
              <w:autoSpaceDN w:val="0"/>
              <w:adjustRightInd w:val="0"/>
              <w:rPr>
                <w:rFonts w:cstheme="minorHAnsi"/>
                <w:color w:val="FF4A38"/>
              </w:rPr>
            </w:pPr>
            <w:r w:rsidRPr="00942185">
              <w:rPr>
                <w:rFonts w:cstheme="minorHAnsi"/>
                <w:color w:val="FF4A38"/>
              </w:rPr>
              <w:lastRenderedPageBreak/>
              <w:t>Ce qui n’est pas assuré</w:t>
            </w:r>
          </w:p>
        </w:tc>
        <w:tc>
          <w:tcPr>
            <w:tcW w:w="6663" w:type="dxa"/>
          </w:tcPr>
          <w:p w14:paraId="09AF771F" w14:textId="18D6D00A" w:rsidR="00942185" w:rsidRDefault="00942185" w:rsidP="00942185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3C5F5F"/>
                <w:sz w:val="19"/>
                <w:szCs w:val="19"/>
              </w:rPr>
            </w:pPr>
            <w:r>
              <w:rPr>
                <w:rFonts w:ascii="Wingdings" w:hAnsi="Wingdings" w:cs="Wingdings"/>
                <w:color w:val="FF0D00"/>
                <w:sz w:val="32"/>
                <w:szCs w:val="32"/>
              </w:rPr>
              <w:t xml:space="preserve"> </w:t>
            </w:r>
            <w:r>
              <w:rPr>
                <w:rFonts w:ascii="HelveticaNeueLTStd-Lt" w:hAnsi="HelveticaNeueLTStd-Lt" w:cs="HelveticaNeueLTStd-Lt"/>
                <w:color w:val="3C5F5F"/>
                <w:sz w:val="19"/>
                <w:szCs w:val="19"/>
              </w:rPr>
              <w:t>Les suppléments liés au choix d’une chambre particulière ;</w:t>
            </w:r>
          </w:p>
          <w:p w14:paraId="2B798D72" w14:textId="77777777" w:rsidR="00942185" w:rsidRDefault="00942185" w:rsidP="00942185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3C5F5F"/>
                <w:sz w:val="19"/>
                <w:szCs w:val="19"/>
              </w:rPr>
            </w:pPr>
            <w:r>
              <w:rPr>
                <w:rFonts w:ascii="Wingdings" w:hAnsi="Wingdings" w:cs="Wingdings"/>
                <w:color w:val="FF0D00"/>
                <w:sz w:val="32"/>
                <w:szCs w:val="32"/>
              </w:rPr>
              <w:t xml:space="preserve"> </w:t>
            </w:r>
            <w:r>
              <w:rPr>
                <w:rFonts w:ascii="HelveticaNeueLTStd-Lt" w:hAnsi="HelveticaNeueLTStd-Lt" w:cs="HelveticaNeueLTStd-Lt"/>
                <w:color w:val="3C5F5F"/>
                <w:sz w:val="19"/>
                <w:szCs w:val="19"/>
              </w:rPr>
              <w:t>Les prestations médicales et paramédicales sans</w:t>
            </w:r>
          </w:p>
          <w:p w14:paraId="71341631" w14:textId="77777777" w:rsidR="00942185" w:rsidRDefault="00942185" w:rsidP="00942185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3C5F5F"/>
                <w:sz w:val="19"/>
                <w:szCs w:val="19"/>
              </w:rPr>
            </w:pPr>
            <w:r>
              <w:rPr>
                <w:rFonts w:ascii="HelveticaNeueLTStd-Lt" w:hAnsi="HelveticaNeueLTStd-Lt" w:cs="HelveticaNeueLTStd-Lt"/>
                <w:color w:val="3C5F5F"/>
                <w:sz w:val="19"/>
                <w:szCs w:val="19"/>
              </w:rPr>
              <w:t>intervention de la mutualité ;</w:t>
            </w:r>
          </w:p>
          <w:p w14:paraId="76445673" w14:textId="77777777" w:rsidR="00942185" w:rsidRDefault="00942185" w:rsidP="00942185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color w:val="3C5F5F"/>
                <w:sz w:val="19"/>
                <w:szCs w:val="19"/>
              </w:rPr>
            </w:pPr>
            <w:r>
              <w:rPr>
                <w:rFonts w:ascii="Wingdings" w:hAnsi="Wingdings" w:cs="Wingdings"/>
                <w:color w:val="FF0D00"/>
                <w:sz w:val="32"/>
                <w:szCs w:val="32"/>
              </w:rPr>
              <w:t xml:space="preserve"> </w:t>
            </w:r>
            <w:r>
              <w:rPr>
                <w:rFonts w:ascii="HelveticaNeueLTStd-Lt" w:hAnsi="HelveticaNeueLTStd-Lt" w:cs="HelveticaNeueLTStd-Lt"/>
                <w:color w:val="3C5F5F"/>
                <w:sz w:val="19"/>
                <w:szCs w:val="19"/>
              </w:rPr>
              <w:t>Les produits d’hygiène et de confort (téléphone, télévision, ...) ;</w:t>
            </w:r>
          </w:p>
          <w:p w14:paraId="086DFD31" w14:textId="36B57556" w:rsidR="00942185" w:rsidRDefault="00942185" w:rsidP="00942185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color w:val="FF4A38"/>
                <w:sz w:val="28"/>
                <w:szCs w:val="28"/>
              </w:rPr>
            </w:pPr>
            <w:r>
              <w:rPr>
                <w:rFonts w:ascii="Wingdings" w:hAnsi="Wingdings" w:cs="Wingdings"/>
                <w:color w:val="FF0D00"/>
                <w:sz w:val="32"/>
                <w:szCs w:val="32"/>
              </w:rPr>
              <w:t xml:space="preserve"> </w:t>
            </w:r>
            <w:r>
              <w:rPr>
                <w:rFonts w:ascii="HelveticaNeueLTStd-Lt" w:hAnsi="HelveticaNeueLTStd-Lt" w:cs="HelveticaNeueLTStd-Lt"/>
                <w:color w:val="3C5F5F"/>
                <w:sz w:val="19"/>
                <w:szCs w:val="19"/>
              </w:rPr>
              <w:t>Les prothèses et implants dentaires</w:t>
            </w:r>
          </w:p>
        </w:tc>
        <w:tc>
          <w:tcPr>
            <w:tcW w:w="6798" w:type="dxa"/>
          </w:tcPr>
          <w:p w14:paraId="49DCF4FB" w14:textId="77777777" w:rsidR="00942185" w:rsidRDefault="00942185" w:rsidP="007342ED">
            <w:pPr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rFonts w:ascii="Wingdings" w:hAnsi="Wingdings" w:cs="Wingdings"/>
                <w:color w:val="FF0D00"/>
                <w:sz w:val="32"/>
                <w:szCs w:val="32"/>
              </w:rPr>
              <w:t xml:space="preserve"> </w:t>
            </w:r>
            <w:r>
              <w:t xml:space="preserve">Franchise de 100 € /an (sauf en cas d’hospitalisation en chambre à deux lits ou pour une personne de moins de 18 ans) </w:t>
            </w:r>
          </w:p>
          <w:p w14:paraId="499FD619" w14:textId="77777777" w:rsidR="00942185" w:rsidRDefault="00942185" w:rsidP="007342ED">
            <w:pPr>
              <w:autoSpaceDE w:val="0"/>
              <w:autoSpaceDN w:val="0"/>
              <w:adjustRightInd w:val="0"/>
            </w:pPr>
            <w:r>
              <w:rPr>
                <w:rFonts w:ascii="Wingdings" w:hAnsi="Wingdings" w:cs="Wingdings"/>
                <w:color w:val="FF0D00"/>
                <w:sz w:val="32"/>
                <w:szCs w:val="32"/>
              </w:rPr>
              <w:t xml:space="preserve"> </w:t>
            </w:r>
            <w:r>
              <w:t xml:space="preserve">Les prestations médicales et paramédicales sans intervention de la mutualité </w:t>
            </w:r>
          </w:p>
          <w:p w14:paraId="09CE7E6C" w14:textId="77777777" w:rsidR="00942185" w:rsidRDefault="00942185" w:rsidP="007342ED">
            <w:pPr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rFonts w:ascii="Wingdings" w:hAnsi="Wingdings" w:cs="Wingdings"/>
                <w:color w:val="FF0D00"/>
                <w:sz w:val="32"/>
                <w:szCs w:val="32"/>
              </w:rPr>
              <w:t xml:space="preserve"> </w:t>
            </w:r>
            <w:r>
              <w:t xml:space="preserve">Les produits d’hygiène et de confort (téléphone, télévision) ; </w:t>
            </w:r>
            <w:r>
              <w:sym w:font="Symbol" w:char="F0FB"/>
            </w:r>
          </w:p>
          <w:p w14:paraId="2D3C77EE" w14:textId="77777777" w:rsidR="00942185" w:rsidRDefault="00942185" w:rsidP="007342ED">
            <w:pPr>
              <w:autoSpaceDE w:val="0"/>
              <w:autoSpaceDN w:val="0"/>
              <w:adjustRightInd w:val="0"/>
            </w:pPr>
            <w:r>
              <w:rPr>
                <w:rFonts w:ascii="Wingdings" w:hAnsi="Wingdings" w:cs="Wingdings"/>
                <w:color w:val="FF0D00"/>
                <w:sz w:val="32"/>
                <w:szCs w:val="32"/>
              </w:rPr>
              <w:t xml:space="preserve"> </w:t>
            </w:r>
            <w:r>
              <w:t xml:space="preserve"> Les suppléments d’honoraires et de chambre en cas d’hospitalisation :</w:t>
            </w:r>
          </w:p>
          <w:p w14:paraId="1AE295F9" w14:textId="2969DE62" w:rsidR="00942185" w:rsidRPr="00942185" w:rsidRDefault="00942185" w:rsidP="0094218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color w:val="FF4A38"/>
                <w:sz w:val="28"/>
                <w:szCs w:val="28"/>
              </w:rPr>
            </w:pPr>
            <w:r>
              <w:t>au sein d’un service maternité pendant les 3 mois qui suivent la fin du stage ;</w:t>
            </w:r>
          </w:p>
          <w:p w14:paraId="560A3B4C" w14:textId="77777777" w:rsidR="00942185" w:rsidRPr="00942185" w:rsidRDefault="00942185" w:rsidP="0094218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color w:val="FF4A38"/>
                <w:sz w:val="28"/>
                <w:szCs w:val="28"/>
              </w:rPr>
            </w:pPr>
            <w:r>
              <w:t xml:space="preserve">dans les services de revalidation ; </w:t>
            </w:r>
          </w:p>
          <w:p w14:paraId="75B03AA2" w14:textId="77777777" w:rsidR="00942185" w:rsidRPr="00942185" w:rsidRDefault="00942185" w:rsidP="0094218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color w:val="FF4A38"/>
                <w:sz w:val="28"/>
                <w:szCs w:val="28"/>
              </w:rPr>
            </w:pPr>
            <w:r>
              <w:t>dans le service de psychogériatrie ;</w:t>
            </w:r>
          </w:p>
          <w:p w14:paraId="4C50BD8F" w14:textId="72108E2B" w:rsidR="00942185" w:rsidRPr="00942185" w:rsidRDefault="00942185" w:rsidP="00942185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color w:val="FF4A38"/>
                <w:sz w:val="28"/>
                <w:szCs w:val="28"/>
              </w:rPr>
            </w:pPr>
            <w:r>
              <w:t>pour un traitement psychothérapeutique</w:t>
            </w:r>
          </w:p>
        </w:tc>
      </w:tr>
      <w:tr w:rsidR="007342ED" w14:paraId="4F8732C8" w14:textId="77777777" w:rsidTr="007342ED">
        <w:tc>
          <w:tcPr>
            <w:tcW w:w="1493" w:type="dxa"/>
          </w:tcPr>
          <w:p w14:paraId="5D6B47B4" w14:textId="1FBA2A11" w:rsidR="007342ED" w:rsidRPr="00942185" w:rsidRDefault="007342ED" w:rsidP="00786853">
            <w:pPr>
              <w:pStyle w:val="Paragraphedeliste"/>
              <w:ind w:left="0"/>
            </w:pPr>
            <w:r w:rsidRPr="00942185">
              <w:t>Exclusions</w:t>
            </w:r>
          </w:p>
          <w:p w14:paraId="50871D43" w14:textId="77777777" w:rsidR="007342ED" w:rsidRDefault="007342ED" w:rsidP="00786853">
            <w:pPr>
              <w:pStyle w:val="Paragraphedeliste"/>
              <w:ind w:left="0"/>
              <w:rPr>
                <w:color w:val="70AD47" w:themeColor="accent6"/>
              </w:rPr>
            </w:pPr>
          </w:p>
          <w:p w14:paraId="7001080D" w14:textId="6A7A6ADB" w:rsidR="007342ED" w:rsidRPr="007342ED" w:rsidRDefault="007342ED" w:rsidP="007342ED">
            <w:pPr>
              <w:pStyle w:val="Paragraphedeliste"/>
              <w:ind w:left="0"/>
              <w:jc w:val="center"/>
              <w:rPr>
                <w:color w:val="70AD47" w:themeColor="accent6"/>
                <w:sz w:val="72"/>
                <w:szCs w:val="72"/>
              </w:rPr>
            </w:pPr>
            <w:r w:rsidRPr="007342ED">
              <w:rPr>
                <w:rFonts w:ascii="HelveticaNeueLTStd-Bd" w:hAnsi="HelveticaNeueLTStd-Bd" w:cs="HelveticaNeueLTStd-Bd"/>
                <w:color w:val="FF4A38"/>
                <w:sz w:val="72"/>
                <w:szCs w:val="72"/>
              </w:rPr>
              <w:t>!</w:t>
            </w:r>
          </w:p>
        </w:tc>
        <w:tc>
          <w:tcPr>
            <w:tcW w:w="13528" w:type="dxa"/>
            <w:gridSpan w:val="3"/>
          </w:tcPr>
          <w:p w14:paraId="59EF900B" w14:textId="5817294B" w:rsidR="007342ED" w:rsidRPr="00942185" w:rsidRDefault="007342ED" w:rsidP="001D12C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42185">
              <w:rPr>
                <w:rFonts w:cstheme="minorHAnsi"/>
              </w:rPr>
              <w:t>Les services d’internement psychiatrique et de placement (35,36,38,39,41-44,76) ;</w:t>
            </w:r>
          </w:p>
          <w:p w14:paraId="162E38A6" w14:textId="648B7D2D" w:rsidR="007342ED" w:rsidRPr="00942185" w:rsidRDefault="007342ED" w:rsidP="001D12C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42185">
              <w:rPr>
                <w:rFonts w:cstheme="minorHAnsi"/>
              </w:rPr>
              <w:t>Les établissements non reconnus comme centres psychiatriques ou hôpitaux tels que les maisons de repos et de soins, les centres de convalescence,</w:t>
            </w:r>
          </w:p>
          <w:p w14:paraId="063FF394" w14:textId="77777777" w:rsidR="007342ED" w:rsidRPr="00942185" w:rsidRDefault="007342ED" w:rsidP="001D12C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42185">
              <w:rPr>
                <w:rFonts w:cstheme="minorHAnsi"/>
              </w:rPr>
              <w:t>cliniques ophtalmologiques, ... ;</w:t>
            </w:r>
          </w:p>
          <w:p w14:paraId="0DEA598A" w14:textId="09C41DC9" w:rsidR="007342ED" w:rsidRPr="00942185" w:rsidRDefault="007342ED" w:rsidP="001D12C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42185">
              <w:rPr>
                <w:rFonts w:cstheme="minorHAnsi"/>
              </w:rPr>
              <w:t>Les hospitalisations ayant débuté avant ou pendant la période de stage ;</w:t>
            </w:r>
          </w:p>
          <w:p w14:paraId="40B8C35B" w14:textId="6C8E652F" w:rsidR="007342ED" w:rsidRPr="00942185" w:rsidRDefault="007342ED" w:rsidP="001D12C2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42185">
              <w:rPr>
                <w:rFonts w:cstheme="minorHAnsi"/>
              </w:rPr>
              <w:t>Les hospitalisations résultant de la pratique professionnelle d’un sport ;</w:t>
            </w:r>
          </w:p>
          <w:p w14:paraId="729EC20C" w14:textId="224302D6" w:rsidR="007342ED" w:rsidRPr="00942185" w:rsidRDefault="007342ED" w:rsidP="001D12C2">
            <w:pPr>
              <w:pStyle w:val="Paragraphedeliste"/>
              <w:numPr>
                <w:ilvl w:val="0"/>
                <w:numId w:val="5"/>
              </w:numPr>
              <w:rPr>
                <w:color w:val="70AD47" w:themeColor="accent6"/>
              </w:rPr>
            </w:pPr>
            <w:r w:rsidRPr="00942185">
              <w:rPr>
                <w:rFonts w:cstheme="minorHAnsi"/>
              </w:rPr>
              <w:t>Les hospitalisations de chirurgie esthétique</w:t>
            </w:r>
          </w:p>
        </w:tc>
      </w:tr>
      <w:tr w:rsidR="00786853" w14:paraId="25579E70" w14:textId="77777777" w:rsidTr="007342ED">
        <w:tc>
          <w:tcPr>
            <w:tcW w:w="1493" w:type="dxa"/>
          </w:tcPr>
          <w:p w14:paraId="321A1D72" w14:textId="51F8D7D9" w:rsidR="00786853" w:rsidRPr="008A6782" w:rsidRDefault="00786853" w:rsidP="00786853">
            <w:pPr>
              <w:pStyle w:val="Paragraphedeliste"/>
              <w:ind w:left="0"/>
            </w:pPr>
            <w:r w:rsidRPr="008A6782">
              <w:t>Où suis-je couvert</w:t>
            </w:r>
          </w:p>
        </w:tc>
        <w:tc>
          <w:tcPr>
            <w:tcW w:w="13528" w:type="dxa"/>
            <w:gridSpan w:val="3"/>
          </w:tcPr>
          <w:p w14:paraId="06633892" w14:textId="77777777" w:rsidR="00786853" w:rsidRPr="008A6782" w:rsidRDefault="00786853" w:rsidP="00A1209B">
            <w:pPr>
              <w:pStyle w:val="Paragraphedeliste"/>
            </w:pPr>
            <w:r w:rsidRPr="008A6782">
              <w:t>Les hospitalisations à l’étranger (maximum 300€/jour ; 5.000€/an)</w:t>
            </w:r>
          </w:p>
          <w:p w14:paraId="2EE86AD8" w14:textId="3BAE4FB3" w:rsidR="005B0E76" w:rsidRPr="008A6782" w:rsidRDefault="005B0E76" w:rsidP="00A1209B">
            <w:pPr>
              <w:pStyle w:val="Paragraphedeliste"/>
            </w:pPr>
            <w:r w:rsidRPr="008A6782">
              <w:t xml:space="preserve">La garantie </w:t>
            </w:r>
            <w:r w:rsidR="008A6782" w:rsidRPr="008A6782">
              <w:t>de l’assurance Hopimut et optio est valable dans le monde entier</w:t>
            </w:r>
          </w:p>
        </w:tc>
      </w:tr>
      <w:tr w:rsidR="002E5887" w14:paraId="32ADCB0C" w14:textId="77777777" w:rsidTr="007342ED">
        <w:tc>
          <w:tcPr>
            <w:tcW w:w="1493" w:type="dxa"/>
          </w:tcPr>
          <w:p w14:paraId="764D464B" w14:textId="63F99A4B" w:rsidR="002E5887" w:rsidRPr="008A6782" w:rsidRDefault="002E5887" w:rsidP="00786853">
            <w:pPr>
              <w:pStyle w:val="Paragraphedeliste"/>
              <w:ind w:left="0"/>
            </w:pPr>
            <w:r>
              <w:t>Résiliation</w:t>
            </w:r>
          </w:p>
        </w:tc>
        <w:tc>
          <w:tcPr>
            <w:tcW w:w="13528" w:type="dxa"/>
            <w:gridSpan w:val="3"/>
          </w:tcPr>
          <w:p w14:paraId="0D8E99C5" w14:textId="2E10B0BB" w:rsidR="002E5887" w:rsidRPr="008A6782" w:rsidRDefault="00A1209B" w:rsidP="002E5887">
            <w:pPr>
              <w:pStyle w:val="Paragraphedeliste"/>
            </w:pPr>
            <w:r>
              <w:t>U</w:t>
            </w:r>
            <w:r w:rsidR="001D1D59">
              <w:t>n préavis de trois mois ; celui-ci prenant cours le premier jour du mois qui suit l’envoi de ce courrier de résiliation.</w:t>
            </w:r>
          </w:p>
        </w:tc>
      </w:tr>
    </w:tbl>
    <w:p w14:paraId="73C42D2B" w14:textId="77777777" w:rsidR="00005306" w:rsidRDefault="00005306">
      <w:r>
        <w:br w:type="page"/>
      </w:r>
    </w:p>
    <w:tbl>
      <w:tblPr>
        <w:tblStyle w:val="Grilledutableau"/>
        <w:tblW w:w="15021" w:type="dxa"/>
        <w:tblInd w:w="-998" w:type="dxa"/>
        <w:tblLook w:val="04A0" w:firstRow="1" w:lastRow="0" w:firstColumn="1" w:lastColumn="0" w:noHBand="0" w:noVBand="1"/>
      </w:tblPr>
      <w:tblGrid>
        <w:gridCol w:w="1493"/>
        <w:gridCol w:w="6764"/>
        <w:gridCol w:w="6764"/>
      </w:tblGrid>
      <w:tr w:rsidR="00E23A13" w14:paraId="16A221F9" w14:textId="77777777" w:rsidTr="00884560">
        <w:tc>
          <w:tcPr>
            <w:tcW w:w="1493" w:type="dxa"/>
          </w:tcPr>
          <w:p w14:paraId="05B81E84" w14:textId="5ACC8982" w:rsidR="00E23A13" w:rsidRDefault="00E23A13" w:rsidP="00786853">
            <w:pPr>
              <w:pStyle w:val="Paragraphedeliste"/>
              <w:ind w:left="0"/>
            </w:pPr>
          </w:p>
        </w:tc>
        <w:tc>
          <w:tcPr>
            <w:tcW w:w="6764" w:type="dxa"/>
          </w:tcPr>
          <w:p w14:paraId="0AE77AC1" w14:textId="24130B91" w:rsidR="00E23A13" w:rsidRPr="006167A3" w:rsidRDefault="009721EB" w:rsidP="00FA59EC">
            <w:pPr>
              <w:pStyle w:val="Paragraphedeliste"/>
              <w:jc w:val="center"/>
              <w:rPr>
                <w:b/>
                <w:bCs/>
                <w:u w:val="single"/>
              </w:rPr>
            </w:pPr>
            <w:r w:rsidRPr="00362D32">
              <w:rPr>
                <w:bCs/>
                <w:color w:val="4472C4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LCH – le complément hospi</w:t>
            </w:r>
          </w:p>
        </w:tc>
        <w:tc>
          <w:tcPr>
            <w:tcW w:w="6764" w:type="dxa"/>
          </w:tcPr>
          <w:p w14:paraId="03776674" w14:textId="78F2FF43" w:rsidR="00E23A13" w:rsidRPr="008E787B" w:rsidRDefault="009721EB" w:rsidP="00FA59EC">
            <w:pPr>
              <w:pStyle w:val="Paragraphedeliste"/>
              <w:ind w:left="0" w:firstLine="3"/>
              <w:jc w:val="center"/>
              <w:rPr>
                <w:b/>
                <w:bCs/>
                <w:u w:val="single"/>
              </w:rPr>
            </w:pPr>
            <w:r w:rsidRPr="00362D32">
              <w:rPr>
                <w:bCs/>
                <w:color w:val="4472C4" w:themeColor="accent1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MG – Maladie Grave</w:t>
            </w:r>
          </w:p>
        </w:tc>
      </w:tr>
      <w:tr w:rsidR="00997F6D" w14:paraId="75C05BB3" w14:textId="77777777" w:rsidTr="00600FD7">
        <w:tc>
          <w:tcPr>
            <w:tcW w:w="1493" w:type="dxa"/>
          </w:tcPr>
          <w:p w14:paraId="099A0334" w14:textId="54ACF9CF" w:rsidR="00997F6D" w:rsidRDefault="00997F6D" w:rsidP="00786853">
            <w:pPr>
              <w:pStyle w:val="Paragraphedeliste"/>
              <w:ind w:left="0"/>
            </w:pPr>
            <w:r>
              <w:t>Type d’assurance</w:t>
            </w:r>
          </w:p>
        </w:tc>
        <w:tc>
          <w:tcPr>
            <w:tcW w:w="6764" w:type="dxa"/>
          </w:tcPr>
          <w:p w14:paraId="22BF17D5" w14:textId="77777777" w:rsidR="00997F6D" w:rsidRPr="008A6782" w:rsidRDefault="00997F6D" w:rsidP="008344D2">
            <w:pPr>
              <w:pStyle w:val="Paragraphedeliste"/>
              <w:ind w:left="-45"/>
            </w:pPr>
            <w:r>
              <w:t xml:space="preserve">L’assurance Le Complément Hospi intervient dans les frais liés directement à une hospitalisation dans la période débutant </w:t>
            </w:r>
            <w:r w:rsidRPr="00307012">
              <w:rPr>
                <w:b/>
                <w:bCs/>
              </w:rPr>
              <w:t>60 jours avant la date de début de l’hospitalisation et se terminant 90 jours après la date de fin de l’hospitalisation</w:t>
            </w:r>
          </w:p>
        </w:tc>
        <w:tc>
          <w:tcPr>
            <w:tcW w:w="6764" w:type="dxa"/>
          </w:tcPr>
          <w:p w14:paraId="74798A6D" w14:textId="180AADBB" w:rsidR="00997F6D" w:rsidRPr="008A6782" w:rsidRDefault="008F36DB" w:rsidP="008344D2">
            <w:pPr>
              <w:pStyle w:val="Paragraphedeliste"/>
              <w:ind w:left="145"/>
            </w:pPr>
            <w:r>
              <w:t xml:space="preserve">L’assurance ambulatoire Maladies Graves est une assurance intervenant dans les frais, </w:t>
            </w:r>
            <w:r w:rsidRPr="00541B6F">
              <w:rPr>
                <w:b/>
                <w:bCs/>
              </w:rPr>
              <w:t>hors période d’hospitalisation</w:t>
            </w:r>
            <w:r>
              <w:t xml:space="preserve"> et liés à l’une des </w:t>
            </w:r>
            <w:r w:rsidRPr="00541B6F">
              <w:rPr>
                <w:b/>
                <w:bCs/>
              </w:rPr>
              <w:t>maladies graves</w:t>
            </w:r>
            <w:r>
              <w:t xml:space="preserve"> suivantes</w:t>
            </w:r>
            <w:r w:rsidR="00F96150">
              <w:t xml:space="preserve"> (si elle n’a pas été diagnostiquée avant le contrat)</w:t>
            </w:r>
            <w:r>
              <w:t xml:space="preserve"> : Alzheimer, cancer, diabète de type I, maladie de Crohn, maladie de Hodgkin, insuffisance rénale nécessitant une dialyse, leucémie, méningite cérébro-spinale, mucoviscidose, le Parkinson, poliomyélite, sclérose en plaques</w:t>
            </w:r>
            <w:r w:rsidR="00606A5B">
              <w:t>…</w:t>
            </w:r>
          </w:p>
        </w:tc>
      </w:tr>
      <w:tr w:rsidR="004E025D" w14:paraId="540477FD" w14:textId="77777777" w:rsidTr="007170D1">
        <w:tc>
          <w:tcPr>
            <w:tcW w:w="1493" w:type="dxa"/>
          </w:tcPr>
          <w:p w14:paraId="4ADCF190" w14:textId="59B70B12" w:rsidR="004E025D" w:rsidRDefault="004E025D" w:rsidP="004E025D">
            <w:pPr>
              <w:pStyle w:val="Paragraphedeliste"/>
              <w:ind w:left="0"/>
            </w:pPr>
            <w:r>
              <w:t>Stage</w:t>
            </w:r>
          </w:p>
        </w:tc>
        <w:tc>
          <w:tcPr>
            <w:tcW w:w="13528" w:type="dxa"/>
            <w:gridSpan w:val="2"/>
          </w:tcPr>
          <w:p w14:paraId="49B8DD09" w14:textId="7BD12E40" w:rsidR="004E025D" w:rsidRDefault="004E025D" w:rsidP="004E025D">
            <w:pPr>
              <w:pStyle w:val="Paragraphedeliste"/>
              <w:ind w:left="145"/>
              <w:jc w:val="center"/>
            </w:pPr>
            <w:r>
              <w:t xml:space="preserve">6 mois (suppression </w:t>
            </w:r>
            <w:r w:rsidR="00943B55">
              <w:t xml:space="preserve">du stage en cas de </w:t>
            </w:r>
            <w:r>
              <w:t>co</w:t>
            </w:r>
            <w:r w:rsidR="00943B55">
              <w:t>uverture</w:t>
            </w:r>
            <w:r>
              <w:t xml:space="preserve"> similaire</w:t>
            </w:r>
            <w:r w:rsidR="00C75F93">
              <w:t xml:space="preserve"> et pour lequel, le stage de 6 mois a été accompli</w:t>
            </w:r>
            <w:r>
              <w:t>)</w:t>
            </w:r>
          </w:p>
        </w:tc>
      </w:tr>
      <w:tr w:rsidR="004E025D" w14:paraId="6FBEE9C6" w14:textId="77777777" w:rsidTr="008E08B1">
        <w:tc>
          <w:tcPr>
            <w:tcW w:w="1493" w:type="dxa"/>
          </w:tcPr>
          <w:p w14:paraId="23260FB7" w14:textId="7EFA78FD" w:rsidR="004E025D" w:rsidRDefault="004E025D" w:rsidP="004E025D">
            <w:pPr>
              <w:pStyle w:val="Paragraphedeliste"/>
              <w:ind w:left="0"/>
            </w:pPr>
            <w:r>
              <w:t>Plafond d’intervention</w:t>
            </w:r>
          </w:p>
        </w:tc>
        <w:tc>
          <w:tcPr>
            <w:tcW w:w="13528" w:type="dxa"/>
            <w:gridSpan w:val="2"/>
          </w:tcPr>
          <w:p w14:paraId="530B3361" w14:textId="3888AEFB" w:rsidR="004E025D" w:rsidRDefault="004E025D" w:rsidP="004E025D">
            <w:pPr>
              <w:pStyle w:val="Paragraphedeliste"/>
              <w:ind w:left="145"/>
              <w:jc w:val="center"/>
            </w:pPr>
            <w:r>
              <w:t>10.000 € par an / par assuré</w:t>
            </w:r>
          </w:p>
        </w:tc>
      </w:tr>
      <w:tr w:rsidR="004E025D" w14:paraId="2876A8E0" w14:textId="77777777" w:rsidTr="001500AE">
        <w:tc>
          <w:tcPr>
            <w:tcW w:w="1493" w:type="dxa"/>
            <w:vMerge w:val="restart"/>
            <w:textDirection w:val="btLr"/>
          </w:tcPr>
          <w:p w14:paraId="47DDE50A" w14:textId="268F61BC" w:rsidR="004E025D" w:rsidRDefault="004E025D" w:rsidP="004E025D">
            <w:pPr>
              <w:pStyle w:val="Paragraphedeliste"/>
              <w:ind w:left="113" w:right="113"/>
              <w:jc w:val="center"/>
            </w:pPr>
            <w:r>
              <w:t>Ce qui est assuré</w:t>
            </w:r>
          </w:p>
        </w:tc>
        <w:tc>
          <w:tcPr>
            <w:tcW w:w="6764" w:type="dxa"/>
          </w:tcPr>
          <w:p w14:paraId="15ECEB2E" w14:textId="77777777" w:rsidR="004E025D" w:rsidRDefault="004E025D" w:rsidP="004E025D">
            <w:pPr>
              <w:pStyle w:val="Paragraphedeliste"/>
              <w:numPr>
                <w:ilvl w:val="0"/>
                <w:numId w:val="4"/>
              </w:numPr>
            </w:pPr>
            <w:r>
              <w:t xml:space="preserve">Les </w:t>
            </w:r>
            <w:r w:rsidRPr="00CB2234">
              <w:rPr>
                <w:b/>
                <w:bCs/>
              </w:rPr>
              <w:t>médicaments</w:t>
            </w:r>
            <w:r>
              <w:t xml:space="preserve"> et préparations magistrales </w:t>
            </w:r>
            <w:r w:rsidRPr="00CB2234">
              <w:rPr>
                <w:b/>
                <w:bCs/>
              </w:rPr>
              <w:t>prescrits</w:t>
            </w:r>
            <w:r>
              <w:t xml:space="preserve"> par un médecin </w:t>
            </w:r>
          </w:p>
          <w:p w14:paraId="26A880E2" w14:textId="3AB03BA5" w:rsidR="004E025D" w:rsidRDefault="004E025D" w:rsidP="004E025D">
            <w:pPr>
              <w:pStyle w:val="Paragraphedeliste"/>
              <w:numPr>
                <w:ilvl w:val="0"/>
                <w:numId w:val="4"/>
              </w:numPr>
            </w:pPr>
            <w:r>
              <w:t xml:space="preserve">Les frais de </w:t>
            </w:r>
            <w:r w:rsidRPr="00735C11">
              <w:rPr>
                <w:b/>
                <w:bCs/>
              </w:rPr>
              <w:t>location de matériel</w:t>
            </w:r>
            <w:r>
              <w:t xml:space="preserve"> sanitaire en lien avec l’hospitalisation : béquilles, chaises roulantes, chaises percées, lits médicaux et accessoires, déambulateurs, tensiomètres, aérosols, tire-laits</w:t>
            </w:r>
          </w:p>
        </w:tc>
        <w:tc>
          <w:tcPr>
            <w:tcW w:w="6764" w:type="dxa"/>
          </w:tcPr>
          <w:p w14:paraId="1644BE38" w14:textId="330ED6C6" w:rsidR="004E025D" w:rsidRPr="00735C11" w:rsidRDefault="004E025D" w:rsidP="004E025D">
            <w:pPr>
              <w:pStyle w:val="Paragraphedeliste"/>
              <w:ind w:left="145"/>
              <w:rPr>
                <w:b/>
                <w:bCs/>
              </w:rPr>
            </w:pPr>
            <w:r>
              <w:t xml:space="preserve">- Les </w:t>
            </w:r>
            <w:r w:rsidRPr="00735C11">
              <w:rPr>
                <w:b/>
                <w:bCs/>
              </w:rPr>
              <w:t>médicaments prescrits</w:t>
            </w:r>
            <w:r>
              <w:t xml:space="preserve"> par un médecin, destinés à </w:t>
            </w:r>
            <w:r w:rsidRPr="00735C11">
              <w:rPr>
                <w:b/>
                <w:bCs/>
              </w:rPr>
              <w:t xml:space="preserve">soigner la maladie </w:t>
            </w:r>
          </w:p>
          <w:p w14:paraId="2965262F" w14:textId="66423A97" w:rsidR="004E025D" w:rsidRDefault="004E025D" w:rsidP="004E025D">
            <w:pPr>
              <w:pStyle w:val="Paragraphedeliste"/>
              <w:ind w:left="145"/>
            </w:pPr>
            <w:r>
              <w:t xml:space="preserve">- Les frais de </w:t>
            </w:r>
            <w:r w:rsidRPr="00735C11">
              <w:rPr>
                <w:b/>
                <w:bCs/>
              </w:rPr>
              <w:t>nourriture entérale</w:t>
            </w:r>
            <w:r>
              <w:t xml:space="preserve"> ;</w:t>
            </w:r>
          </w:p>
        </w:tc>
      </w:tr>
      <w:tr w:rsidR="004E025D" w14:paraId="1E3F3C01" w14:textId="77777777" w:rsidTr="00C45FB8">
        <w:tc>
          <w:tcPr>
            <w:tcW w:w="1493" w:type="dxa"/>
            <w:vMerge/>
          </w:tcPr>
          <w:p w14:paraId="66BB7C4E" w14:textId="77777777" w:rsidR="004E025D" w:rsidRDefault="004E025D" w:rsidP="004E025D">
            <w:pPr>
              <w:pStyle w:val="Paragraphedeliste"/>
              <w:ind w:left="0"/>
            </w:pPr>
          </w:p>
        </w:tc>
        <w:tc>
          <w:tcPr>
            <w:tcW w:w="13528" w:type="dxa"/>
            <w:gridSpan w:val="2"/>
          </w:tcPr>
          <w:p w14:paraId="56197317" w14:textId="77777777" w:rsidR="004E025D" w:rsidRPr="00735C11" w:rsidRDefault="004E025D" w:rsidP="004E025D">
            <w:pPr>
              <w:pStyle w:val="Paragraphedeliste"/>
              <w:numPr>
                <w:ilvl w:val="0"/>
                <w:numId w:val="4"/>
              </w:numPr>
              <w:rPr>
                <w:b/>
                <w:bCs/>
              </w:rPr>
            </w:pPr>
            <w:r w:rsidRPr="00735C11">
              <w:rPr>
                <w:b/>
                <w:bCs/>
              </w:rPr>
              <w:t>Les visites et consultations chez les médecins généralistes et spécialistes</w:t>
            </w:r>
          </w:p>
          <w:p w14:paraId="29611525" w14:textId="27359C82" w:rsidR="004E025D" w:rsidRDefault="004E025D" w:rsidP="004E025D">
            <w:pPr>
              <w:pStyle w:val="Paragraphedeliste"/>
              <w:numPr>
                <w:ilvl w:val="0"/>
                <w:numId w:val="4"/>
              </w:numPr>
            </w:pPr>
            <w:r>
              <w:t xml:space="preserve"> Les soins paramédicaux tels que les soins </w:t>
            </w:r>
            <w:r w:rsidRPr="00735C11">
              <w:rPr>
                <w:b/>
                <w:bCs/>
              </w:rPr>
              <w:t>infirmiers, kinésithérapeutiques, logopédiques</w:t>
            </w:r>
            <w:r>
              <w:t>, ...</w:t>
            </w:r>
          </w:p>
          <w:p w14:paraId="09646743" w14:textId="77777777" w:rsidR="004E025D" w:rsidRDefault="004E025D" w:rsidP="004E025D">
            <w:pPr>
              <w:pStyle w:val="Paragraphedeliste"/>
              <w:numPr>
                <w:ilvl w:val="0"/>
                <w:numId w:val="4"/>
              </w:numPr>
            </w:pPr>
            <w:r>
              <w:t xml:space="preserve">Les </w:t>
            </w:r>
            <w:r w:rsidRPr="00735C11">
              <w:rPr>
                <w:b/>
                <w:bCs/>
              </w:rPr>
              <w:t>examens médicaux et prises de sang</w:t>
            </w:r>
          </w:p>
          <w:p w14:paraId="2F59AC99" w14:textId="2DBEA41A" w:rsidR="004E025D" w:rsidRDefault="004E025D" w:rsidP="004E025D">
            <w:pPr>
              <w:pStyle w:val="Paragraphedeliste"/>
              <w:numPr>
                <w:ilvl w:val="0"/>
                <w:numId w:val="4"/>
              </w:numPr>
            </w:pPr>
            <w:r>
              <w:t>Les compresses et pansements (</w:t>
            </w:r>
            <w:r w:rsidR="00735C11">
              <w:t xml:space="preserve">LCH : </w:t>
            </w:r>
            <w:r>
              <w:t>maximum 250 €/an)</w:t>
            </w:r>
          </w:p>
        </w:tc>
      </w:tr>
      <w:tr w:rsidR="004E025D" w14:paraId="2190A04B" w14:textId="77777777" w:rsidTr="0080148E">
        <w:tc>
          <w:tcPr>
            <w:tcW w:w="1493" w:type="dxa"/>
          </w:tcPr>
          <w:p w14:paraId="2F29CABB" w14:textId="6CA2376D" w:rsidR="004E025D" w:rsidRDefault="004E025D" w:rsidP="004E025D">
            <w:pPr>
              <w:pStyle w:val="Paragraphedeliste"/>
              <w:ind w:left="0"/>
              <w:jc w:val="center"/>
            </w:pPr>
            <w:r w:rsidRPr="001D12C2">
              <w:rPr>
                <w:color w:val="FF0000"/>
              </w:rPr>
              <w:t>Ce qui n’est pas assuré</w:t>
            </w:r>
          </w:p>
        </w:tc>
        <w:tc>
          <w:tcPr>
            <w:tcW w:w="13528" w:type="dxa"/>
            <w:gridSpan w:val="2"/>
          </w:tcPr>
          <w:p w14:paraId="3C6C72C2" w14:textId="5C31D555" w:rsidR="004E025D" w:rsidRDefault="004E025D" w:rsidP="004E025D">
            <w:pPr>
              <w:pStyle w:val="Paragraphedeliste"/>
              <w:ind w:left="381"/>
            </w:pPr>
            <w:r>
              <w:rPr>
                <w:rFonts w:ascii="Wingdings" w:hAnsi="Wingdings" w:cs="Wingdings"/>
                <w:color w:val="FF0D00"/>
                <w:sz w:val="32"/>
                <w:szCs w:val="32"/>
              </w:rPr>
              <w:t xml:space="preserve"> </w:t>
            </w:r>
            <w:r>
              <w:t xml:space="preserve">Les soins et traitements médicaux et paramédicaux sans intervention préalable de la mutualité </w:t>
            </w:r>
          </w:p>
          <w:p w14:paraId="277B569E" w14:textId="1B2918FB" w:rsidR="004E025D" w:rsidRDefault="004E025D" w:rsidP="004E025D">
            <w:pPr>
              <w:pStyle w:val="Paragraphedeliste"/>
              <w:ind w:left="381"/>
            </w:pPr>
            <w:r>
              <w:rPr>
                <w:rFonts w:ascii="Wingdings" w:hAnsi="Wingdings" w:cs="Wingdings"/>
                <w:color w:val="FF0D00"/>
                <w:sz w:val="32"/>
                <w:szCs w:val="32"/>
              </w:rPr>
              <w:t xml:space="preserve"> </w:t>
            </w:r>
            <w:r>
              <w:t xml:space="preserve">Les médicaments non prescrits, les vitamines, les vaccins, l’homéopathie, les produits d’hygiène, les compléments alimentaires et les produits parapharmaceutiques  </w:t>
            </w:r>
          </w:p>
          <w:p w14:paraId="41B6B295" w14:textId="1CC59417" w:rsidR="004E025D" w:rsidRDefault="004E025D" w:rsidP="004E025D">
            <w:pPr>
              <w:pStyle w:val="Paragraphedeliste"/>
              <w:ind w:left="381"/>
            </w:pPr>
            <w:r>
              <w:rPr>
                <w:rFonts w:ascii="Wingdings" w:hAnsi="Wingdings" w:cs="Wingdings"/>
                <w:color w:val="FF0D00"/>
                <w:sz w:val="32"/>
                <w:szCs w:val="32"/>
              </w:rPr>
              <w:t xml:space="preserve"> </w:t>
            </w:r>
            <w:r>
              <w:t>L’achat de matériel médical</w:t>
            </w:r>
          </w:p>
          <w:p w14:paraId="18EDC709" w14:textId="77777777" w:rsidR="004E025D" w:rsidRDefault="004E025D" w:rsidP="004E025D">
            <w:pPr>
              <w:pStyle w:val="Paragraphedeliste"/>
              <w:numPr>
                <w:ilvl w:val="1"/>
                <w:numId w:val="4"/>
              </w:numPr>
            </w:pPr>
            <w:r>
              <w:t>Les médicaments non liés à la maladie grave</w:t>
            </w:r>
          </w:p>
          <w:p w14:paraId="71533E79" w14:textId="666DEDC8" w:rsidR="004E025D" w:rsidRDefault="004E025D" w:rsidP="004E025D">
            <w:pPr>
              <w:pStyle w:val="Paragraphedeliste"/>
              <w:numPr>
                <w:ilvl w:val="1"/>
                <w:numId w:val="4"/>
              </w:numPr>
            </w:pPr>
            <w:r>
              <w:t>La location de matériel pour la maladie grave</w:t>
            </w:r>
          </w:p>
        </w:tc>
      </w:tr>
      <w:tr w:rsidR="004E025D" w14:paraId="4321D8A3" w14:textId="77777777" w:rsidTr="00542462">
        <w:tc>
          <w:tcPr>
            <w:tcW w:w="1493" w:type="dxa"/>
          </w:tcPr>
          <w:p w14:paraId="73BD93AE" w14:textId="4B412AD3" w:rsidR="004E025D" w:rsidRPr="001D12C2" w:rsidRDefault="004E025D" w:rsidP="004E025D">
            <w:pPr>
              <w:pStyle w:val="Paragraphedeliste"/>
              <w:ind w:left="0"/>
              <w:jc w:val="center"/>
              <w:rPr>
                <w:color w:val="FF0000"/>
              </w:rPr>
            </w:pPr>
            <w:r w:rsidRPr="00C00BA5">
              <w:t>Exclusions</w:t>
            </w:r>
          </w:p>
        </w:tc>
        <w:tc>
          <w:tcPr>
            <w:tcW w:w="6764" w:type="dxa"/>
          </w:tcPr>
          <w:p w14:paraId="1279ADC7" w14:textId="77777777" w:rsidR="004E025D" w:rsidRPr="00133DF3" w:rsidRDefault="004E025D" w:rsidP="004E025D">
            <w:pPr>
              <w:pStyle w:val="Paragraphedeliste"/>
              <w:numPr>
                <w:ilvl w:val="0"/>
                <w:numId w:val="8"/>
              </w:numPr>
              <w:rPr>
                <w:rFonts w:ascii="Wingdings" w:hAnsi="Wingdings" w:cs="Wingdings"/>
                <w:color w:val="FF0D00"/>
                <w:sz w:val="32"/>
                <w:szCs w:val="32"/>
              </w:rPr>
            </w:pPr>
            <w:r>
              <w:t xml:space="preserve">Les frais liés à une hospitalisation non remboursée par Solidaris Assurances </w:t>
            </w:r>
          </w:p>
          <w:p w14:paraId="0B31F75C" w14:textId="4086E7DC" w:rsidR="004E025D" w:rsidRPr="00133DF3" w:rsidRDefault="004E025D" w:rsidP="004E025D">
            <w:pPr>
              <w:pStyle w:val="Paragraphedeliste"/>
              <w:numPr>
                <w:ilvl w:val="0"/>
                <w:numId w:val="8"/>
              </w:numPr>
              <w:rPr>
                <w:rFonts w:ascii="Wingdings" w:hAnsi="Wingdings" w:cs="Wingdings"/>
                <w:color w:val="FF0D00"/>
                <w:sz w:val="32"/>
                <w:szCs w:val="32"/>
              </w:rPr>
            </w:pPr>
            <w:r>
              <w:t xml:space="preserve">Les soins et traitements ayant débutés avant ou pendant la période de stage </w:t>
            </w:r>
          </w:p>
          <w:p w14:paraId="1AAF0B6A" w14:textId="69916DE6" w:rsidR="004E025D" w:rsidRPr="00133DF3" w:rsidRDefault="004E025D" w:rsidP="004E025D">
            <w:pPr>
              <w:pStyle w:val="Paragraphedeliste"/>
              <w:numPr>
                <w:ilvl w:val="0"/>
                <w:numId w:val="8"/>
              </w:numPr>
              <w:rPr>
                <w:rFonts w:ascii="Wingdings" w:hAnsi="Wingdings" w:cs="Wingdings"/>
                <w:color w:val="FF0D00"/>
                <w:sz w:val="32"/>
                <w:szCs w:val="32"/>
              </w:rPr>
            </w:pPr>
            <w:r>
              <w:t>Les soins, implants et prothèses dentaires</w:t>
            </w:r>
          </w:p>
        </w:tc>
        <w:tc>
          <w:tcPr>
            <w:tcW w:w="6764" w:type="dxa"/>
          </w:tcPr>
          <w:p w14:paraId="77F55C29" w14:textId="77777777" w:rsidR="004E025D" w:rsidRPr="00133DF3" w:rsidRDefault="004E025D" w:rsidP="004E025D">
            <w:pPr>
              <w:pStyle w:val="Paragraphedeliste"/>
              <w:numPr>
                <w:ilvl w:val="0"/>
                <w:numId w:val="8"/>
              </w:numPr>
              <w:rPr>
                <w:rFonts w:ascii="Wingdings" w:hAnsi="Wingdings" w:cs="Wingdings"/>
                <w:color w:val="FF0D00"/>
                <w:sz w:val="32"/>
                <w:szCs w:val="32"/>
              </w:rPr>
            </w:pPr>
            <w:r>
              <w:t>Les frais relatifs à une maladie reprise dans la liste ci-dessus et existante à la date de prise d’effet de l’assurance</w:t>
            </w:r>
          </w:p>
          <w:p w14:paraId="1AC3DD7D" w14:textId="77777777" w:rsidR="004E025D" w:rsidRPr="00133DF3" w:rsidRDefault="004E025D" w:rsidP="004E025D">
            <w:pPr>
              <w:pStyle w:val="Paragraphedeliste"/>
              <w:numPr>
                <w:ilvl w:val="0"/>
                <w:numId w:val="8"/>
              </w:numPr>
              <w:rPr>
                <w:rFonts w:ascii="Wingdings" w:hAnsi="Wingdings" w:cs="Wingdings"/>
                <w:color w:val="FF0D00"/>
                <w:sz w:val="32"/>
                <w:szCs w:val="32"/>
              </w:rPr>
            </w:pPr>
            <w:r>
              <w:t>Les frais relatifs à une maladie non reprise dans la liste ci-dessus;</w:t>
            </w:r>
          </w:p>
          <w:p w14:paraId="4AD75D44" w14:textId="3032751E" w:rsidR="004E025D" w:rsidRDefault="004E025D" w:rsidP="004E025D">
            <w:pPr>
              <w:pStyle w:val="Paragraphedeliste"/>
              <w:numPr>
                <w:ilvl w:val="0"/>
                <w:numId w:val="8"/>
              </w:numPr>
              <w:rPr>
                <w:rFonts w:ascii="Wingdings" w:hAnsi="Wingdings" w:cs="Wingdings"/>
                <w:color w:val="FF0D00"/>
                <w:sz w:val="32"/>
                <w:szCs w:val="32"/>
              </w:rPr>
            </w:pPr>
            <w:r>
              <w:t>Les soins, implants et prothèses dentaires</w:t>
            </w:r>
          </w:p>
        </w:tc>
      </w:tr>
      <w:tr w:rsidR="004E025D" w14:paraId="48BBFCA4" w14:textId="77777777" w:rsidTr="00771B6A">
        <w:tc>
          <w:tcPr>
            <w:tcW w:w="1493" w:type="dxa"/>
          </w:tcPr>
          <w:p w14:paraId="3AD8848D" w14:textId="30BE58BA" w:rsidR="004E025D" w:rsidRPr="00C00BA5" w:rsidRDefault="004E025D" w:rsidP="004E025D">
            <w:pPr>
              <w:pStyle w:val="Paragraphedeliste"/>
              <w:ind w:left="0"/>
              <w:jc w:val="center"/>
            </w:pPr>
            <w:r>
              <w:t>Où suis-je couvert</w:t>
            </w:r>
          </w:p>
        </w:tc>
        <w:tc>
          <w:tcPr>
            <w:tcW w:w="13528" w:type="dxa"/>
            <w:gridSpan w:val="2"/>
          </w:tcPr>
          <w:p w14:paraId="0BB563A2" w14:textId="76AC1C4E" w:rsidR="004E025D" w:rsidRDefault="004E025D" w:rsidP="004E025D">
            <w:pPr>
              <w:pStyle w:val="Paragraphedeliste"/>
            </w:pPr>
            <w:r>
              <w:t>Uniquement pour les frais exposés en Belgique</w:t>
            </w:r>
          </w:p>
        </w:tc>
      </w:tr>
      <w:tr w:rsidR="004E025D" w14:paraId="3B9E5E38" w14:textId="77777777" w:rsidTr="00771B6A">
        <w:tc>
          <w:tcPr>
            <w:tcW w:w="1493" w:type="dxa"/>
          </w:tcPr>
          <w:p w14:paraId="67263376" w14:textId="2CE24B53" w:rsidR="004E025D" w:rsidRDefault="004E025D" w:rsidP="004E025D">
            <w:pPr>
              <w:pStyle w:val="Paragraphedeliste"/>
              <w:ind w:left="0"/>
              <w:jc w:val="center"/>
            </w:pPr>
            <w:r>
              <w:t>Résiliation</w:t>
            </w:r>
          </w:p>
        </w:tc>
        <w:tc>
          <w:tcPr>
            <w:tcW w:w="13528" w:type="dxa"/>
            <w:gridSpan w:val="2"/>
          </w:tcPr>
          <w:p w14:paraId="3F91134E" w14:textId="7B6013DE" w:rsidR="004E025D" w:rsidRDefault="004E025D" w:rsidP="004E025D">
            <w:pPr>
              <w:pStyle w:val="Paragraphedeliste"/>
            </w:pPr>
            <w:r>
              <w:t>Un préavis de trois mois ; celui-ci prenant cours le premier jour du mois qui suit l’envoi de ce courrier de résiliation.</w:t>
            </w:r>
          </w:p>
        </w:tc>
      </w:tr>
    </w:tbl>
    <w:p w14:paraId="3DC7A4D5" w14:textId="77777777" w:rsidR="007E664A" w:rsidRDefault="007E664A" w:rsidP="00B77E44"/>
    <w:sectPr w:rsidR="007E664A" w:rsidSect="00B77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1417" w:bottom="142" w:left="1417" w:header="142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7291" w14:textId="77777777" w:rsidR="00674E4C" w:rsidRDefault="00674E4C" w:rsidP="00A86F50">
      <w:pPr>
        <w:spacing w:after="0" w:line="240" w:lineRule="auto"/>
      </w:pPr>
      <w:r>
        <w:separator/>
      </w:r>
    </w:p>
  </w:endnote>
  <w:endnote w:type="continuationSeparator" w:id="0">
    <w:p w14:paraId="5884CAFD" w14:textId="77777777" w:rsidR="00674E4C" w:rsidRDefault="00674E4C" w:rsidP="00A8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4A8F" w14:textId="77777777" w:rsidR="00E5429A" w:rsidRDefault="00E542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84D8" w14:textId="77777777" w:rsidR="00E5429A" w:rsidRDefault="00E5429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A145" w14:textId="77777777" w:rsidR="00E5429A" w:rsidRDefault="00E542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F15F" w14:textId="77777777" w:rsidR="00674E4C" w:rsidRDefault="00674E4C" w:rsidP="00A86F50">
      <w:pPr>
        <w:spacing w:after="0" w:line="240" w:lineRule="auto"/>
      </w:pPr>
      <w:r>
        <w:separator/>
      </w:r>
    </w:p>
  </w:footnote>
  <w:footnote w:type="continuationSeparator" w:id="0">
    <w:p w14:paraId="511C4A39" w14:textId="77777777" w:rsidR="00674E4C" w:rsidRDefault="00674E4C" w:rsidP="00A8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0EE6" w14:textId="77777777" w:rsidR="00E5429A" w:rsidRDefault="00E542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432E" w14:textId="31541C23" w:rsidR="00A86F50" w:rsidRDefault="00734E7B" w:rsidP="008E787B">
    <w:pPr>
      <w:pStyle w:val="En-tte"/>
    </w:pPr>
    <w:r>
      <w:rPr>
        <w:noProof/>
      </w:rPr>
      <w:drawing>
        <wp:inline distT="0" distB="0" distL="0" distR="0" wp14:anchorId="610E0187" wp14:editId="0D1B50F6">
          <wp:extent cx="1264920" cy="523415"/>
          <wp:effectExtent l="0" t="0" r="0" b="0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347" cy="528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87B">
      <w:t xml:space="preserve">                                                                                                                                                                                                                          </w:t>
    </w:r>
    <w:r w:rsidR="000F4739">
      <w:t>01/01/202</w:t>
    </w:r>
    <w:r w:rsidR="00E5429A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8ED4" w14:textId="77777777" w:rsidR="00E5429A" w:rsidRDefault="00E542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E8E"/>
    <w:multiLevelType w:val="hybridMultilevel"/>
    <w:tmpl w:val="76867EF4"/>
    <w:lvl w:ilvl="0" w:tplc="A33E0FA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3542"/>
    <w:multiLevelType w:val="hybridMultilevel"/>
    <w:tmpl w:val="07DA71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009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2979"/>
    <w:multiLevelType w:val="hybridMultilevel"/>
    <w:tmpl w:val="07E086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A440F"/>
    <w:multiLevelType w:val="hybridMultilevel"/>
    <w:tmpl w:val="7C8A4A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E0743"/>
    <w:multiLevelType w:val="hybridMultilevel"/>
    <w:tmpl w:val="96AA86B8"/>
    <w:lvl w:ilvl="0" w:tplc="080C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5" w15:restartNumberingAfterBreak="0">
    <w:nsid w:val="37FB50F7"/>
    <w:multiLevelType w:val="hybridMultilevel"/>
    <w:tmpl w:val="D99CF0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372AC"/>
    <w:multiLevelType w:val="hybridMultilevel"/>
    <w:tmpl w:val="E5D015F6"/>
    <w:lvl w:ilvl="0" w:tplc="A33E0FA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C4673"/>
    <w:multiLevelType w:val="hybridMultilevel"/>
    <w:tmpl w:val="D09EC9C4"/>
    <w:lvl w:ilvl="0" w:tplc="A33E0FA4">
      <w:start w:val="100"/>
      <w:numFmt w:val="bullet"/>
      <w:lvlText w:val="-"/>
      <w:lvlJc w:val="left"/>
      <w:pPr>
        <w:ind w:left="76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50077420">
    <w:abstractNumId w:val="1"/>
  </w:num>
  <w:num w:numId="2" w16cid:durableId="1303653550">
    <w:abstractNumId w:val="0"/>
  </w:num>
  <w:num w:numId="3" w16cid:durableId="1552229177">
    <w:abstractNumId w:val="7"/>
  </w:num>
  <w:num w:numId="4" w16cid:durableId="1254364770">
    <w:abstractNumId w:val="6"/>
  </w:num>
  <w:num w:numId="5" w16cid:durableId="1811745938">
    <w:abstractNumId w:val="5"/>
  </w:num>
  <w:num w:numId="6" w16cid:durableId="1668241384">
    <w:abstractNumId w:val="4"/>
  </w:num>
  <w:num w:numId="7" w16cid:durableId="783816526">
    <w:abstractNumId w:val="3"/>
  </w:num>
  <w:num w:numId="8" w16cid:durableId="1018585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A0"/>
    <w:rsid w:val="00005306"/>
    <w:rsid w:val="00012130"/>
    <w:rsid w:val="00016A6F"/>
    <w:rsid w:val="00095EDB"/>
    <w:rsid w:val="000F4739"/>
    <w:rsid w:val="00113017"/>
    <w:rsid w:val="0012707D"/>
    <w:rsid w:val="00133DF3"/>
    <w:rsid w:val="001376CE"/>
    <w:rsid w:val="001439A9"/>
    <w:rsid w:val="001500AE"/>
    <w:rsid w:val="00183646"/>
    <w:rsid w:val="001C7C06"/>
    <w:rsid w:val="001D12C2"/>
    <w:rsid w:val="001D1D59"/>
    <w:rsid w:val="001F2408"/>
    <w:rsid w:val="002070FB"/>
    <w:rsid w:val="00217A54"/>
    <w:rsid w:val="002713CD"/>
    <w:rsid w:val="002C6E9A"/>
    <w:rsid w:val="002E0BD2"/>
    <w:rsid w:val="002E0D30"/>
    <w:rsid w:val="002E5887"/>
    <w:rsid w:val="003066D2"/>
    <w:rsid w:val="00307012"/>
    <w:rsid w:val="00327118"/>
    <w:rsid w:val="00362D32"/>
    <w:rsid w:val="00373B3F"/>
    <w:rsid w:val="00385561"/>
    <w:rsid w:val="00387A9F"/>
    <w:rsid w:val="004B3B81"/>
    <w:rsid w:val="004B514E"/>
    <w:rsid w:val="004D3E33"/>
    <w:rsid w:val="004E025D"/>
    <w:rsid w:val="005123F6"/>
    <w:rsid w:val="00541B6F"/>
    <w:rsid w:val="005835A0"/>
    <w:rsid w:val="005A5AEC"/>
    <w:rsid w:val="005A6350"/>
    <w:rsid w:val="005B0E76"/>
    <w:rsid w:val="005E7D8D"/>
    <w:rsid w:val="00603C76"/>
    <w:rsid w:val="00606A5B"/>
    <w:rsid w:val="006167A3"/>
    <w:rsid w:val="0063761E"/>
    <w:rsid w:val="00674E4C"/>
    <w:rsid w:val="006E69B7"/>
    <w:rsid w:val="00711E42"/>
    <w:rsid w:val="007342ED"/>
    <w:rsid w:val="00734E7B"/>
    <w:rsid w:val="00735C11"/>
    <w:rsid w:val="00775EE0"/>
    <w:rsid w:val="00784425"/>
    <w:rsid w:val="00786853"/>
    <w:rsid w:val="007D12D5"/>
    <w:rsid w:val="007E664A"/>
    <w:rsid w:val="007F60DF"/>
    <w:rsid w:val="008117EF"/>
    <w:rsid w:val="008344D2"/>
    <w:rsid w:val="008749D6"/>
    <w:rsid w:val="0089328E"/>
    <w:rsid w:val="00896287"/>
    <w:rsid w:val="008A6782"/>
    <w:rsid w:val="008B7AED"/>
    <w:rsid w:val="008E787B"/>
    <w:rsid w:val="008F2712"/>
    <w:rsid w:val="008F36DB"/>
    <w:rsid w:val="008F6FB9"/>
    <w:rsid w:val="009006B2"/>
    <w:rsid w:val="009264C8"/>
    <w:rsid w:val="00941DC0"/>
    <w:rsid w:val="00942185"/>
    <w:rsid w:val="00943B55"/>
    <w:rsid w:val="009721EB"/>
    <w:rsid w:val="00997F6D"/>
    <w:rsid w:val="009C24F1"/>
    <w:rsid w:val="009D292A"/>
    <w:rsid w:val="009D30A5"/>
    <w:rsid w:val="00A1209B"/>
    <w:rsid w:val="00A21E17"/>
    <w:rsid w:val="00A41629"/>
    <w:rsid w:val="00A64B4C"/>
    <w:rsid w:val="00A86F50"/>
    <w:rsid w:val="00B12091"/>
    <w:rsid w:val="00B30584"/>
    <w:rsid w:val="00B62640"/>
    <w:rsid w:val="00B77E44"/>
    <w:rsid w:val="00B9661D"/>
    <w:rsid w:val="00BE0265"/>
    <w:rsid w:val="00BE09F5"/>
    <w:rsid w:val="00BE7C45"/>
    <w:rsid w:val="00BF2FAE"/>
    <w:rsid w:val="00BF5C81"/>
    <w:rsid w:val="00C00BA5"/>
    <w:rsid w:val="00C2448D"/>
    <w:rsid w:val="00C32898"/>
    <w:rsid w:val="00C7435E"/>
    <w:rsid w:val="00C75F93"/>
    <w:rsid w:val="00CB2234"/>
    <w:rsid w:val="00CB57C8"/>
    <w:rsid w:val="00CB6928"/>
    <w:rsid w:val="00CC1D5E"/>
    <w:rsid w:val="00CE7734"/>
    <w:rsid w:val="00D065E7"/>
    <w:rsid w:val="00D259B6"/>
    <w:rsid w:val="00D7761A"/>
    <w:rsid w:val="00D80B54"/>
    <w:rsid w:val="00DA1A85"/>
    <w:rsid w:val="00DB700A"/>
    <w:rsid w:val="00DB7B7F"/>
    <w:rsid w:val="00DF2068"/>
    <w:rsid w:val="00E23A13"/>
    <w:rsid w:val="00E275F9"/>
    <w:rsid w:val="00E5429A"/>
    <w:rsid w:val="00E631A8"/>
    <w:rsid w:val="00EC4F4C"/>
    <w:rsid w:val="00F00DD1"/>
    <w:rsid w:val="00F078F7"/>
    <w:rsid w:val="00F96150"/>
    <w:rsid w:val="00FA2927"/>
    <w:rsid w:val="00FA49FF"/>
    <w:rsid w:val="00FA59EC"/>
    <w:rsid w:val="00FC7259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85267B"/>
  <w15:chartTrackingRefBased/>
  <w15:docId w15:val="{2102BA02-3E14-46EC-9487-0F4FABD2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35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F50"/>
  </w:style>
  <w:style w:type="paragraph" w:styleId="Pieddepage">
    <w:name w:val="footer"/>
    <w:basedOn w:val="Normal"/>
    <w:link w:val="PieddepageCar"/>
    <w:uiPriority w:val="99"/>
    <w:unhideWhenUsed/>
    <w:rsid w:val="00A8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977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Solidaris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Schreck, Isabelle</dc:creator>
  <cp:keywords/>
  <dc:description/>
  <cp:lastModifiedBy>Schreck, Isabelle</cp:lastModifiedBy>
  <cp:revision>117</cp:revision>
  <dcterms:created xsi:type="dcterms:W3CDTF">2024-04-15T13:37:00Z</dcterms:created>
  <dcterms:modified xsi:type="dcterms:W3CDTF">2024-12-26T07:49:00Z</dcterms:modified>
</cp:coreProperties>
</file>